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20</w:t>
      </w:r>
    </w:p>
    <w:p>
      <w:r>
        <w:t>Bundesgericht (BGE), 1994-02-09, FR</w:t>
      </w:r>
    </w:p>
    <w:p>
      <w:r>
        <w:rPr>
          <w:b/>
        </w:rPr>
        <w:t xml:space="preserve">Quelle: </w:t>
      </w:r>
      <w:r>
        <w:t>https://mcp.opencaselaw.ch/entscheid/bge_120 III 20</w:t>
      </w:r>
    </w:p>
    <w:p>
      <w:r>
        <w:t>FR: ATF 120 III 20</w:t>
      </w:r>
    </w:p>
    <w:p>
      <w:r>
        <w:t>IT: DTF 120 III 20</w:t>
      </w:r>
    </w:p>
    <w:p>
      <w:pPr>
        <w:pStyle w:val="Heading2"/>
      </w:pPr>
      <w:r>
        <w:t>Regeste</w:t>
      </w:r>
    </w:p>
    <w:p>
      <w:r>
        <w:t>Regeste Liegenschaftsverwertung; Bestreitung des Lastenverzeichnisses (Art. 140 Abs. 2 SchKG, 43 Abs. 1 und 112 Abs. 1 VZG). Rechtsmittel und Frist zur Anfechtung des Lastenverzeichnisses; Abänderung eines rechtskräftigen Lastenverzeichnisses von Amtes wegen (E. 1). Prinzip der Gleichbehandlung der Gläubiger öffentlichen und privaten Rechts. Die Verfahrensvorschriften, die den Rang der Grundpfandrechte im Verhältnis zueinander festlegen, können nicht als nachgiebiges oder als zwingendes Recht betrachtet werden, je nach dem, ob die sichergestellten Forderungen auf privatem oder öffentlichem Recht beruhen (E. 2). Aufnahme privilegierter gesetzlicher Grundpfandrechte in das Lastenverzeichnis unter dem Titel rechtsgeschäftlich vereinbarter: leicht feststellbar könnte eine solche Ungenauigkeit auf rechtzeitig erhobene Beschwerde hin berichtigt werden; im Stadium der Verteilung ist dies nicht mehr möglich (E. 3).</w:t>
      </w:r>
    </w:p>
    <w:p>
      <w:pPr>
        <w:pStyle w:val="Heading2"/>
      </w:pPr>
      <w:r>
        <w:t>Erwägungen</w:t>
      </w:r>
    </w:p>
    <w:p>
      <w:r>
        <w:rPr>
          <w:b/>
        </w:rPr>
        <w:t>E. 1</w:t>
      </w:r>
    </w:p>
    <w:p>
      <w:r>
        <w:t>Un état des charges non conforme à l'extrait du registre foncier ou aux productions peut être attaqué par la voie de la plainte au sens de l' art. 17 LP (P.-R. GILLIÉRON, Poursuite pour dettes, faillite et concordat, 3e éd., Lausanne 1993, p. 233; KURT AMONN, Grundriss des Schuldbetreibungs- und Konkursrechts, 5e éd., Berne 1993, § 28 n. 35). S'il n'est pas contesté dans le délai de dix jours de l' art. 140 al. 2 LP , il devient définitif et les droits qui y figurent sont considérés comme reconnus par tous les intéressés pour la poursuite en cours (art. 37 al. 2 ORI [RS 281.42]; GILLIÉRON, op.cit., p. 232; AMONN, op.cit., § 28 n. 28). Un état des charges définitif peut toutefois être modifié d'office, en tout temps, s'il a été établi en violation de règles de procédure impératives, parce qu'instituées dans l'intérêt public ou dans l'intérêt d'un nombre indéterminé de tiers ( ATF 96 III 74 consid. 2 p. 77). Une omission fautive du préposé peut aussi justifier un complément ultérieur de l'état des charges ( ATF 113 III 17 consid. 2 p. 18).</w:t>
      </w:r>
    </w:p>
    <w:p>
      <w:r>
        <w:rPr>
          <w:b/>
        </w:rPr>
        <w:t>E. 2</w:t>
      </w:r>
    </w:p>
    <w:p>
      <w:r>
        <w:t>L'argument de la recourante, selon lequel le rang de l'inscription hypothécaire résultait en l'espèce d'une disposition légale impérative qui devait être appliquée d'office, ne saurait être suivi. La jurisprudence met en effet en doute le caractère impératif des dispositions de procédure destinées à fixer le rang des droits de gage immobilier les uns par rapport aux autres, car la fixation de ce rapport ne concerne que les créanciers hypothécaires et n'a donc d'importance que pour un nombre limité de personnes ( ATF 96 III 74 consid. 2 p. 78). Cette jurisprudence ayant été rendue à propos de créances hypothécaires de droit privé, la recourante conteste qu'elle soit aussi applicable aux créances garanties par des hypothèques légales de droit public. Elle a tort, car - comme l'a rappelé à juste titre l'autorité cantonale de surveillance - le droit fédéral de la poursuite repose sur le principe de l'égalité entre créanciers de droit public et de droit privé (ANTOINE FAVRE, Droit des poursuites, 3e éd., p. 88 ch. 1; GILLIÉRON, op.cit., p. 35 § 1 let. b et 313 let. A; AMONN, op.cit., § 1 n. 14, § 7 n. 4, § 42 n. 43; FRITZSCHE/WALDER, Schuldbetreibung und Konkurs nach schweizerischem Recht, vol. I, 3e éd., Zurich 1984, § 10 n. 2; DOMINIQUE RIGOT, Le recouvrement forcé des créances de droit public selon le droit de poursuite pour dettes et la faillite, thèse Lausanne 1991, p. 56 n. 48, p. 108 n. 86, p. 253 n. 241 et p. 301; cf. en outre le message du CF concernant la BGE 120 III 20 S. 24 révision de la loi fédérale sur la poursuite pour dettes et la faillite, FF 1991 III 147 s.). En tant qu'il se fonde sur la jurisprudence précitée ( ATF 96 III 74 ) et considère qu'il est indifférent que le créancier hypothécaire soit une collectivité publique ou un particulier, le jugement attaqué ne contrevient donc nullement au droit fédéral. Et c'est à bon droit que le Tribunal cantonal retient que l'on ne saurait attribuer aux règles de procédure fixant le rang des droits de gage un caractère dispositif ou impératif suivant que les créances garanties sont de droit privé ou de droit public; ce serait en effet créer un privilège en faveur du créancier de droit public, absolument contraire - ainsi que cela vient d'être relevé - à l'esprit de la loi fédérale sur la poursuite pour dettes et la faillite.</w:t>
      </w:r>
    </w:p>
    <w:p>
      <w:r>
        <w:rPr>
          <w:b/>
        </w:rPr>
        <w:t>E. 3</w:t>
      </w:r>
    </w:p>
    <w:p>
      <w:r>
        <w:t>Aux termes de l'art. 36 al. 2 ORI , l'office n'a pas le droit de refuser de porter à l'état des charges celles qui figurent dans l'extrait du registre foncier ou qui ont fait l'objet d'une production. En l'espèce, le préposé n'a pas formellement refusé d'inscrire à l'état des charges les hypothèques légales annoncées par la recourante; il les a simplement fait figurer au mauvais endroit. L'autorité cantonale de surveillance qualifie cette inexactitude d'erreur; la recourante, d'omission fautive au sens de la jurisprudence ( ATF 113 III 17 ). Il n'y a pas lieu de trancher entre les deux, car l'inexactitude en question était évidente et pouvait être aisément constatée à première lecture: clairement subdivisé en deux titres ("Hypothèques légales privilégiées" et "Hypothèques conventionnelles"), l'état des charges communiqué à la commune de X. mentionnait la production de celle-ci sous la rubrique "Hypothèques conventionnelles", en 3ème rang, alors que l'intéressée avait expressément signalé au préposé que ses créances avaient fait l'objet d'une "inscription hypothécaire légale privilégiée au Registre foncier " et qu'elle avait joint à sa production une copie des réquisitions à cet office. Or une telle irrégularité pouvait être corrigée par la voie d'une plainte déposée dans le délai de 10 jours à compter de la communication de l'état des charges (cf. consid. 1 ci-dessus). Faute d'avoir usé de ce moyen en temps utile, la recourante doit dès lors se voir opposer la règle prévue aux art. 43 al. 1 (par renvoi de l'art. 102) et 112 al. 1 ORI, en vertu de laquelle le rang et le montant des créances garanties par gage inscrites à l'état des charges ne peuvent plus être contestés, lors de la distribution des deniers, par ceux qui auraient eu l'occasion de le faire dans la procédure d'épuration de l'état des charges.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